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B" w:rsidRPr="00797B00" w:rsidRDefault="00454EAB" w:rsidP="0079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B00">
        <w:rPr>
          <w:rFonts w:ascii="Times New Roman" w:hAnsi="Times New Roman" w:cs="Times New Roman"/>
          <w:b/>
          <w:sz w:val="24"/>
          <w:szCs w:val="24"/>
        </w:rPr>
        <w:t>PCR Lab Background Information</w:t>
      </w:r>
    </w:p>
    <w:p w:rsidR="007904EB" w:rsidRDefault="007904EB" w:rsidP="007904EB">
      <w:pPr>
        <w:spacing w:after="0"/>
        <w:rPr>
          <w:rFonts w:ascii="Times New Roman" w:hAnsi="Times New Roman" w:cs="Times New Roman"/>
        </w:rPr>
      </w:pPr>
    </w:p>
    <w:p w:rsidR="007904EB" w:rsidRDefault="007904EB" w:rsidP="007904EB">
      <w:pPr>
        <w:spacing w:after="0"/>
        <w:rPr>
          <w:rFonts w:ascii="Times New Roman" w:hAnsi="Times New Roman" w:cs="Times New Roman"/>
        </w:rPr>
      </w:pPr>
      <w:r w:rsidRPr="00454EAB">
        <w:rPr>
          <w:rFonts w:ascii="Times New Roman" w:hAnsi="Times New Roman" w:cs="Times New Roman"/>
          <w:b/>
        </w:rPr>
        <w:t>Objectives:</w:t>
      </w:r>
      <w:r>
        <w:rPr>
          <w:rFonts w:ascii="Times New Roman" w:hAnsi="Times New Roman" w:cs="Times New Roman"/>
        </w:rPr>
        <w:t xml:space="preserve">  At the end of this lab, students should be able to:</w:t>
      </w:r>
    </w:p>
    <w:p w:rsidR="007904EB" w:rsidRDefault="007904EB" w:rsidP="00790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PCR procedure works.</w:t>
      </w:r>
    </w:p>
    <w:p w:rsidR="007904EB" w:rsidRDefault="007904EB" w:rsidP="00790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chemical components necessary to perform PCR and the role played by each.</w:t>
      </w:r>
    </w:p>
    <w:p w:rsidR="007904EB" w:rsidRDefault="007904EB" w:rsidP="00790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 PCR reaction to amplify a specific DNA segment.</w:t>
      </w:r>
    </w:p>
    <w:p w:rsidR="007904EB" w:rsidRDefault="007904EB" w:rsidP="00790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gel electrophoresis to separate PCR-prepared DNA fragments.</w:t>
      </w:r>
    </w:p>
    <w:p w:rsidR="007904EB" w:rsidRDefault="007904EB" w:rsidP="00790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an </w:t>
      </w:r>
      <w:proofErr w:type="spellStart"/>
      <w:r>
        <w:rPr>
          <w:rFonts w:ascii="Times New Roman" w:hAnsi="Times New Roman" w:cs="Times New Roman"/>
        </w:rPr>
        <w:t>agarose</w:t>
      </w:r>
      <w:proofErr w:type="spellEnd"/>
      <w:r>
        <w:rPr>
          <w:rFonts w:ascii="Times New Roman" w:hAnsi="Times New Roman" w:cs="Times New Roman"/>
        </w:rPr>
        <w:t xml:space="preserve"> gel, and use the reference standard curve to determine the size of DNA fragments.</w:t>
      </w:r>
    </w:p>
    <w:p w:rsidR="009D0D86" w:rsidRDefault="009D0D86" w:rsidP="00790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</w:p>
    <w:p w:rsidR="007904EB" w:rsidRDefault="007904EB" w:rsidP="007904EB">
      <w:pPr>
        <w:spacing w:after="0"/>
        <w:rPr>
          <w:rFonts w:ascii="Times New Roman" w:hAnsi="Times New Roman" w:cs="Times New Roman"/>
        </w:rPr>
      </w:pPr>
    </w:p>
    <w:p w:rsidR="007904EB" w:rsidRPr="00454EAB" w:rsidRDefault="00454EAB" w:rsidP="007904EB">
      <w:pPr>
        <w:spacing w:after="0"/>
        <w:rPr>
          <w:rFonts w:ascii="Times New Roman" w:hAnsi="Times New Roman" w:cs="Times New Roman"/>
          <w:b/>
        </w:rPr>
      </w:pPr>
      <w:r w:rsidRPr="00454EAB">
        <w:rPr>
          <w:b/>
          <w:noProof/>
        </w:rPr>
        <w:drawing>
          <wp:anchor distT="57150" distB="57150" distL="57150" distR="57150" simplePos="0" relativeHeight="251657216" behindDoc="0" locked="0" layoutInCell="0" allowOverlap="1">
            <wp:simplePos x="0" y="0"/>
            <wp:positionH relativeFrom="margin">
              <wp:posOffset>4288155</wp:posOffset>
            </wp:positionH>
            <wp:positionV relativeFrom="paragraph">
              <wp:posOffset>114300</wp:posOffset>
            </wp:positionV>
            <wp:extent cx="2581910" cy="1905000"/>
            <wp:effectExtent l="0" t="0" r="8890" b="0"/>
            <wp:wrapSquare wrapText="bothSides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4EB" w:rsidRPr="00454EAB">
        <w:rPr>
          <w:rFonts w:ascii="Times New Roman" w:hAnsi="Times New Roman" w:cs="Times New Roman"/>
          <w:b/>
        </w:rPr>
        <w:t>How Does PCR Work?</w:t>
      </w:r>
    </w:p>
    <w:p w:rsidR="00454EAB" w:rsidRDefault="00454EAB" w:rsidP="00454EAB">
      <w:pPr>
        <w:widowControl w:val="0"/>
      </w:pPr>
      <w:r>
        <w:rPr>
          <w:b/>
        </w:rPr>
        <w:t xml:space="preserve">Polymerase Chain Reaction (PCR) </w:t>
      </w:r>
      <w:r>
        <w:t xml:space="preserve">technology is now the standard way to prepare specific sequences of DNA.  PCR procedures are accomplished with a piece of equipment called a </w:t>
      </w:r>
      <w:proofErr w:type="spellStart"/>
      <w:r>
        <w:rPr>
          <w:b/>
          <w:u w:val="single"/>
        </w:rPr>
        <w:t>thermocycler</w:t>
      </w:r>
      <w:proofErr w:type="spellEnd"/>
      <w:r>
        <w:rPr>
          <w:b/>
          <w:u w:val="single"/>
        </w:rPr>
        <w:t xml:space="preserve"> (or “PCR machine”)</w:t>
      </w:r>
      <w:r>
        <w:t xml:space="preserve">. This machine uses alternating temperature cycles to separate DNA strands and copy the target DNA </w:t>
      </w:r>
      <w:r w:rsidR="00870D61">
        <w:t>segment.</w:t>
      </w:r>
      <w:r>
        <w:t xml:space="preserve"> In essence, the machine </w:t>
      </w:r>
      <w:r w:rsidR="00870D61">
        <w:t xml:space="preserve">automates the natural steps in </w:t>
      </w:r>
      <w:r>
        <w:t>DNA replication – separation of strands, priming and replication to produce complimentary DNA.</w:t>
      </w:r>
    </w:p>
    <w:p w:rsidR="00454EAB" w:rsidRPr="00B17B91" w:rsidRDefault="00454EAB" w:rsidP="00454EAB">
      <w:pPr>
        <w:widowControl w:val="0"/>
      </w:pPr>
      <w:r>
        <w:t xml:space="preserve">Specific DNA primers that bind selectively to the specified DNA sequence are designed and used along with a special heat-tolerant DNA polymerase </w:t>
      </w:r>
      <w:r w:rsidR="00870D61">
        <w:t xml:space="preserve">enzyme called </w:t>
      </w:r>
      <w:proofErr w:type="spellStart"/>
      <w:r w:rsidR="00870D61">
        <w:t>Taq</w:t>
      </w:r>
      <w:proofErr w:type="spellEnd"/>
      <w:r w:rsidR="00870D61">
        <w:t xml:space="preserve"> polymerase. </w:t>
      </w:r>
      <w:r>
        <w:t xml:space="preserve">The PCR machine then goes through a series of heating/cooling cycles, and ONLY the targeted DNA is copied.  </w:t>
      </w:r>
    </w:p>
    <w:p w:rsidR="00454EAB" w:rsidRPr="00B17B91" w:rsidRDefault="00454EAB" w:rsidP="00454EAB">
      <w:pPr>
        <w:widowControl w:val="0"/>
      </w:pPr>
      <w:r w:rsidRPr="00B17B91">
        <w:t>Millions of copies of the target DNA can be made relatively qu</w:t>
      </w:r>
      <w:r w:rsidR="00870D61">
        <w:t xml:space="preserve">ickly in a </w:t>
      </w:r>
      <w:proofErr w:type="spellStart"/>
      <w:r w:rsidR="00870D61">
        <w:t>thermocycler</w:t>
      </w:r>
      <w:proofErr w:type="spellEnd"/>
      <w:r w:rsidR="00870D61">
        <w:t>,</w:t>
      </w:r>
      <w:r w:rsidRPr="00B17B91">
        <w:t xml:space="preserve"> so it is said that the DNA is</w:t>
      </w:r>
      <w:r w:rsidRPr="00B17B91">
        <w:rPr>
          <w:b/>
          <w:u w:val="single"/>
        </w:rPr>
        <w:t xml:space="preserve"> “amplified” </w:t>
      </w:r>
      <w:r w:rsidRPr="00B17B91">
        <w:t>by PCR.    The diagram below shows how the heat cycling separates DNA strands, anneals primers and then copies the primed DNA sequence.</w:t>
      </w:r>
    </w:p>
    <w:p w:rsidR="00454EAB" w:rsidRPr="00B17B91" w:rsidRDefault="00870D61" w:rsidP="00454EAB">
      <w:pPr>
        <w:widowControl w:val="0"/>
      </w:pPr>
      <w:r w:rsidRPr="00B17B91">
        <w:rPr>
          <w:noProof/>
        </w:rPr>
        <w:drawing>
          <wp:anchor distT="57150" distB="57150" distL="57150" distR="57150" simplePos="0" relativeHeight="251658240" behindDoc="0" locked="0" layoutInCell="0" allowOverlap="1" wp14:anchorId="7C986C60" wp14:editId="7E828CA4">
            <wp:simplePos x="0" y="0"/>
            <wp:positionH relativeFrom="margin">
              <wp:posOffset>800100</wp:posOffset>
            </wp:positionH>
            <wp:positionV relativeFrom="paragraph">
              <wp:posOffset>249555</wp:posOffset>
            </wp:positionV>
            <wp:extent cx="5144135" cy="4302125"/>
            <wp:effectExtent l="0" t="0" r="12065" b="0"/>
            <wp:wrapSquare wrapText="bothSides"/>
            <wp:docPr id="1" name="Picture 1" descr="p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43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  <w:r w:rsidR="00454EAB" w:rsidRPr="00B17B91">
        <w:tab/>
      </w:r>
    </w:p>
    <w:p w:rsidR="00454EAB" w:rsidRPr="00B17B91" w:rsidRDefault="00454EAB" w:rsidP="00870D61">
      <w:pPr>
        <w:widowControl w:val="0"/>
      </w:pPr>
    </w:p>
    <w:p w:rsidR="00454EAB" w:rsidRPr="00B17B91" w:rsidRDefault="00454EAB" w:rsidP="00454EAB">
      <w:pPr>
        <w:widowControl w:val="0"/>
      </w:pPr>
    </w:p>
    <w:p w:rsidR="00454EAB" w:rsidRPr="00B17B91" w:rsidRDefault="00454EAB" w:rsidP="00454EAB">
      <w:pPr>
        <w:widowControl w:val="0"/>
      </w:pPr>
    </w:p>
    <w:p w:rsidR="00454EAB" w:rsidRPr="00B17B91" w:rsidRDefault="00454EAB" w:rsidP="00454EAB">
      <w:pPr>
        <w:widowControl w:val="0"/>
      </w:pPr>
    </w:p>
    <w:p w:rsidR="00454EAB" w:rsidRPr="00B17B91" w:rsidRDefault="00454EAB" w:rsidP="00454EAB">
      <w:pPr>
        <w:widowControl w:val="0"/>
      </w:pPr>
    </w:p>
    <w:p w:rsidR="00454EAB" w:rsidRPr="00B17B91" w:rsidRDefault="00454EAB" w:rsidP="00454EAB">
      <w:pPr>
        <w:widowControl w:val="0"/>
      </w:pPr>
    </w:p>
    <w:p w:rsidR="00454EAB" w:rsidRPr="00B17B91" w:rsidRDefault="00454EAB" w:rsidP="00454EAB">
      <w:pPr>
        <w:widowControl w:val="0"/>
      </w:pPr>
    </w:p>
    <w:p w:rsidR="00D448AD" w:rsidRPr="00B17B91" w:rsidRDefault="00D448AD" w:rsidP="00D448AD">
      <w:pPr>
        <w:widowControl w:val="0"/>
        <w:rPr>
          <w:rFonts w:ascii="Times New Roman" w:hAnsi="Times New Roman" w:cs="Times New Roman"/>
        </w:rPr>
      </w:pPr>
    </w:p>
    <w:p w:rsidR="00D448AD" w:rsidRPr="00B17B91" w:rsidRDefault="00B17B91" w:rsidP="00870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448AD" w:rsidRPr="00B17B91">
        <w:rPr>
          <w:rFonts w:ascii="Times New Roman" w:hAnsi="Times New Roman" w:cs="Times New Roman"/>
        </w:rPr>
        <w:lastRenderedPageBreak/>
        <w:t>After about 30 cycles, you have over 1 bill</w:t>
      </w:r>
      <w:r w:rsidR="00870D61">
        <w:rPr>
          <w:rFonts w:ascii="Times New Roman" w:hAnsi="Times New Roman" w:cs="Times New Roman"/>
        </w:rPr>
        <w:t xml:space="preserve">ion copies of the target DNA. </w:t>
      </w:r>
      <w:r w:rsidR="00D448AD" w:rsidRPr="00B17B91">
        <w:rPr>
          <w:rFonts w:ascii="Times New Roman" w:hAnsi="Times New Roman" w:cs="Times New Roman"/>
        </w:rPr>
        <w:t>You also make a few copies of incorrect pieces, but these are small in number and d</w:t>
      </w:r>
      <w:r w:rsidR="00870D61">
        <w:rPr>
          <w:rFonts w:ascii="Times New Roman" w:hAnsi="Times New Roman" w:cs="Times New Roman"/>
        </w:rPr>
        <w:t xml:space="preserve">on’t show up during analysis. </w:t>
      </w:r>
      <w:r w:rsidR="00D448AD" w:rsidRPr="00B17B91">
        <w:rPr>
          <w:rFonts w:ascii="Times New Roman" w:hAnsi="Times New Roman" w:cs="Times New Roman"/>
        </w:rPr>
        <w:t>The diagram above is by nature static, and you need to visualize the process in order to develo</w:t>
      </w:r>
      <w:r w:rsidR="00870D61">
        <w:rPr>
          <w:rFonts w:ascii="Times New Roman" w:hAnsi="Times New Roman" w:cs="Times New Roman"/>
        </w:rPr>
        <w:t xml:space="preserve">p a good understanding of PCR. </w:t>
      </w:r>
      <w:r w:rsidR="00D448AD" w:rsidRPr="00B17B91">
        <w:rPr>
          <w:rFonts w:ascii="Times New Roman" w:hAnsi="Times New Roman" w:cs="Times New Roman"/>
        </w:rPr>
        <w:t>Watch this excellent animation!</w:t>
      </w:r>
    </w:p>
    <w:p w:rsidR="00454EAB" w:rsidRPr="00B17B91" w:rsidRDefault="00D448AD" w:rsidP="00454EAB">
      <w:pPr>
        <w:widowControl w:val="0"/>
        <w:rPr>
          <w:rFonts w:ascii="Times New Roman" w:hAnsi="Times New Roman" w:cs="Times New Roman"/>
        </w:rPr>
      </w:pPr>
      <w:r w:rsidRPr="00B17B91">
        <w:rPr>
          <w:rFonts w:ascii="Times New Roman" w:hAnsi="Times New Roman" w:cs="Times New Roman"/>
        </w:rPr>
        <w:t xml:space="preserve">Go to:  </w:t>
      </w:r>
      <w:hyperlink r:id="rId8" w:history="1">
        <w:r w:rsidRPr="00B17B91">
          <w:rPr>
            <w:rStyle w:val="Hyperlink"/>
            <w:rFonts w:ascii="Times New Roman" w:hAnsi="Times New Roman" w:cs="Times New Roman"/>
          </w:rPr>
          <w:t>http://static.dna.gov/flash/pdi_s04_m01_01.swf</w:t>
        </w:r>
      </w:hyperlink>
      <w:r w:rsidRPr="00B17B91">
        <w:rPr>
          <w:rFonts w:ascii="Times New Roman" w:hAnsi="Times New Roman" w:cs="Times New Roman"/>
        </w:rPr>
        <w:t xml:space="preserve">  </w:t>
      </w:r>
    </w:p>
    <w:p w:rsidR="00A25D95" w:rsidRDefault="00A25D95" w:rsidP="00B17B91">
      <w:pPr>
        <w:widowControl w:val="0"/>
        <w:spacing w:after="0"/>
      </w:pPr>
      <w:r>
        <w:t>In a PCR machine, the temperature of the reaction is cycled between different values to achieve different results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7128"/>
      </w:tblGrid>
      <w:tr w:rsidR="00A25D95" w:rsidTr="00353B84">
        <w:trPr>
          <w:trHeight w:val="395"/>
        </w:trPr>
        <w:tc>
          <w:tcPr>
            <w:tcW w:w="1638" w:type="dxa"/>
          </w:tcPr>
          <w:p w:rsidR="00A25D95" w:rsidRPr="00797B00" w:rsidRDefault="00A25D95" w:rsidP="00B17B91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Step</w:t>
            </w:r>
          </w:p>
        </w:tc>
        <w:tc>
          <w:tcPr>
            <w:tcW w:w="2250" w:type="dxa"/>
          </w:tcPr>
          <w:p w:rsidR="00A25D95" w:rsidRPr="00797B00" w:rsidRDefault="00A25D95" w:rsidP="00B17B91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Temperature</w:t>
            </w:r>
          </w:p>
        </w:tc>
        <w:tc>
          <w:tcPr>
            <w:tcW w:w="7128" w:type="dxa"/>
          </w:tcPr>
          <w:p w:rsidR="00A25D95" w:rsidRPr="00797B00" w:rsidRDefault="00A25D95" w:rsidP="00B17B91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What Happens?</w:t>
            </w:r>
          </w:p>
        </w:tc>
      </w:tr>
      <w:tr w:rsidR="00A25D95" w:rsidTr="00353B84">
        <w:tc>
          <w:tcPr>
            <w:tcW w:w="1638" w:type="dxa"/>
          </w:tcPr>
          <w:p w:rsidR="00A25D95" w:rsidRPr="00797B00" w:rsidRDefault="00353B84" w:rsidP="00454EAB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denature</w:t>
            </w:r>
          </w:p>
        </w:tc>
        <w:tc>
          <w:tcPr>
            <w:tcW w:w="2250" w:type="dxa"/>
          </w:tcPr>
          <w:p w:rsidR="00A25D95" w:rsidRDefault="00353B84" w:rsidP="00353B84">
            <w:pPr>
              <w:pStyle w:val="NoSpacing"/>
            </w:pPr>
            <w:r>
              <w:t xml:space="preserve">high (94-95 </w:t>
            </w:r>
            <w:proofErr w:type="spellStart"/>
            <w:r w:rsidRPr="00353B8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7128" w:type="dxa"/>
          </w:tcPr>
          <w:p w:rsidR="00A25D95" w:rsidRDefault="00353B84" w:rsidP="00454EAB">
            <w:pPr>
              <w:widowControl w:val="0"/>
            </w:pPr>
            <w:r>
              <w:t>DNA strands are separated by breaking the hydrogen bonds – two parent strands come apart.</w:t>
            </w:r>
          </w:p>
        </w:tc>
      </w:tr>
      <w:tr w:rsidR="00A25D95" w:rsidTr="00353B84">
        <w:tc>
          <w:tcPr>
            <w:tcW w:w="1638" w:type="dxa"/>
          </w:tcPr>
          <w:p w:rsidR="00A25D95" w:rsidRPr="00797B00" w:rsidRDefault="00353B84" w:rsidP="00454EAB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anneal</w:t>
            </w:r>
          </w:p>
        </w:tc>
        <w:tc>
          <w:tcPr>
            <w:tcW w:w="2250" w:type="dxa"/>
          </w:tcPr>
          <w:p w:rsidR="00A25D95" w:rsidRDefault="00870D61" w:rsidP="00353B84">
            <w:pPr>
              <w:pStyle w:val="NoSpacing"/>
            </w:pPr>
            <w:proofErr w:type="gramStart"/>
            <w:r>
              <w:t>low</w:t>
            </w:r>
            <w:proofErr w:type="gramEnd"/>
            <w:r>
              <w:t xml:space="preserve"> (50-7</w:t>
            </w:r>
            <w:r w:rsidR="00353B84">
              <w:t xml:space="preserve">0 </w:t>
            </w:r>
            <w:proofErr w:type="spellStart"/>
            <w:r w:rsidR="00353B84" w:rsidRPr="00353B84">
              <w:rPr>
                <w:vertAlign w:val="superscript"/>
              </w:rPr>
              <w:t>o</w:t>
            </w:r>
            <w:r w:rsidR="00353B84">
              <w:t>C</w:t>
            </w:r>
            <w:proofErr w:type="spellEnd"/>
            <w:r w:rsidR="00353B84">
              <w:t>)</w:t>
            </w:r>
          </w:p>
        </w:tc>
        <w:tc>
          <w:tcPr>
            <w:tcW w:w="7128" w:type="dxa"/>
          </w:tcPr>
          <w:p w:rsidR="00A25D95" w:rsidRDefault="00353B84" w:rsidP="00454EAB">
            <w:pPr>
              <w:widowControl w:val="0"/>
            </w:pPr>
            <w:r>
              <w:t>Primers bind to their complementary bases on the template strand.</w:t>
            </w:r>
          </w:p>
        </w:tc>
      </w:tr>
      <w:tr w:rsidR="00A25D95" w:rsidTr="00353B84">
        <w:tc>
          <w:tcPr>
            <w:tcW w:w="1638" w:type="dxa"/>
          </w:tcPr>
          <w:p w:rsidR="00A25D95" w:rsidRPr="00797B00" w:rsidRDefault="00353B84" w:rsidP="00454EAB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extend/amplify</w:t>
            </w:r>
          </w:p>
        </w:tc>
        <w:tc>
          <w:tcPr>
            <w:tcW w:w="2250" w:type="dxa"/>
          </w:tcPr>
          <w:p w:rsidR="00A25D95" w:rsidRDefault="00353B84" w:rsidP="00454EAB">
            <w:pPr>
              <w:widowControl w:val="0"/>
            </w:pPr>
            <w:r>
              <w:t xml:space="preserve">medium (70-74 </w:t>
            </w:r>
            <w:proofErr w:type="spellStart"/>
            <w:r w:rsidRPr="00353B8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7128" w:type="dxa"/>
          </w:tcPr>
          <w:p w:rsidR="00A25D95" w:rsidRDefault="00353B84" w:rsidP="00454EAB">
            <w:pPr>
              <w:widowControl w:val="0"/>
            </w:pPr>
            <w:proofErr w:type="spellStart"/>
            <w:r>
              <w:t>Taq</w:t>
            </w:r>
            <w:proofErr w:type="spellEnd"/>
            <w:r>
              <w:t xml:space="preserve"> polymerase adds </w:t>
            </w:r>
            <w:proofErr w:type="spellStart"/>
            <w:r>
              <w:t>dNTP</w:t>
            </w:r>
            <w:proofErr w:type="spellEnd"/>
            <w:r>
              <w:t xml:space="preserve"> nucleotides to the parent strands, making complementary DNA.</w:t>
            </w:r>
          </w:p>
        </w:tc>
      </w:tr>
      <w:tr w:rsidR="00A25D95" w:rsidTr="00353B84">
        <w:tc>
          <w:tcPr>
            <w:tcW w:w="1638" w:type="dxa"/>
          </w:tcPr>
          <w:p w:rsidR="00A25D95" w:rsidRPr="00797B00" w:rsidRDefault="00353B84" w:rsidP="00454EAB">
            <w:pPr>
              <w:widowControl w:val="0"/>
              <w:rPr>
                <w:b/>
              </w:rPr>
            </w:pPr>
            <w:r w:rsidRPr="00797B00">
              <w:rPr>
                <w:b/>
              </w:rPr>
              <w:t>hold</w:t>
            </w:r>
          </w:p>
        </w:tc>
        <w:tc>
          <w:tcPr>
            <w:tcW w:w="2250" w:type="dxa"/>
          </w:tcPr>
          <w:p w:rsidR="00A25D95" w:rsidRDefault="00353B84" w:rsidP="00454EAB">
            <w:pPr>
              <w:widowControl w:val="0"/>
            </w:pPr>
            <w:r>
              <w:t xml:space="preserve">Cold  (4 </w:t>
            </w:r>
            <w:proofErr w:type="spellStart"/>
            <w:r w:rsidRPr="00353B8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7128" w:type="dxa"/>
          </w:tcPr>
          <w:p w:rsidR="00A25D95" w:rsidRDefault="00353B84" w:rsidP="003B4FDD">
            <w:pPr>
              <w:widowControl w:val="0"/>
            </w:pPr>
            <w:r>
              <w:t>Stops the reaction, preserve</w:t>
            </w:r>
            <w:r w:rsidR="003B4FDD">
              <w:t>s</w:t>
            </w:r>
            <w:r>
              <w:t xml:space="preserve"> the amplified DNA.</w:t>
            </w:r>
          </w:p>
        </w:tc>
      </w:tr>
    </w:tbl>
    <w:p w:rsidR="00353B84" w:rsidRDefault="00353B84" w:rsidP="00454EAB">
      <w:pPr>
        <w:widowControl w:val="0"/>
      </w:pPr>
    </w:p>
    <w:p w:rsidR="00D84EBF" w:rsidRDefault="003B4FDD" w:rsidP="00454EAB">
      <w:pPr>
        <w:widowControl w:val="0"/>
      </w:pPr>
      <w:r>
        <w:t xml:space="preserve">The first </w:t>
      </w:r>
      <w:r w:rsidR="00D84EBF">
        <w:t xml:space="preserve">three steps make up one complete cycle of PCR, but it requires about 25-40 cycles to create enough copies of the target DNA to analyze.  </w:t>
      </w:r>
    </w:p>
    <w:p w:rsidR="00454EAB" w:rsidRDefault="00454EAB" w:rsidP="00454EAB">
      <w:pPr>
        <w:widowControl w:val="0"/>
      </w:pPr>
      <w:r>
        <w:t xml:space="preserve">The enzyme chemistry of DNA replication is modified to work inside a </w:t>
      </w:r>
      <w:proofErr w:type="spellStart"/>
      <w:r>
        <w:t>thermocycler</w:t>
      </w:r>
      <w:proofErr w:type="spellEnd"/>
      <w:r>
        <w:t>.  To set up a PCR reaction, you need to add the following chemical components to each reaction tube:</w:t>
      </w:r>
    </w:p>
    <w:p w:rsidR="00454EAB" w:rsidRDefault="00454EAB" w:rsidP="00454EAB">
      <w:pPr>
        <w:pStyle w:val="ListParagraph"/>
        <w:widowControl w:val="0"/>
        <w:numPr>
          <w:ilvl w:val="0"/>
          <w:numId w:val="3"/>
        </w:numPr>
      </w:pPr>
      <w:r>
        <w:t>Template DNA containing the segment of DNA you want to amplify.</w:t>
      </w:r>
    </w:p>
    <w:p w:rsidR="00454EAB" w:rsidRDefault="00454EAB" w:rsidP="00454EAB">
      <w:pPr>
        <w:pStyle w:val="ListParagraph"/>
        <w:widowControl w:val="0"/>
        <w:numPr>
          <w:ilvl w:val="0"/>
          <w:numId w:val="3"/>
        </w:numPr>
      </w:pPr>
      <w:r>
        <w:t xml:space="preserve">Primers, small pieces of </w:t>
      </w:r>
      <w:r w:rsidR="00C702A5">
        <w:t>DNA</w:t>
      </w:r>
      <w:r>
        <w:t xml:space="preserve"> that bind to the DNA sequence.  Two primers are required – one for each end of the target DNA sequence.</w:t>
      </w:r>
    </w:p>
    <w:p w:rsidR="00454EAB" w:rsidRDefault="00454EAB" w:rsidP="00454EAB">
      <w:pPr>
        <w:pStyle w:val="ListParagraph"/>
        <w:widowControl w:val="0"/>
        <w:numPr>
          <w:ilvl w:val="0"/>
          <w:numId w:val="3"/>
        </w:numPr>
      </w:pPr>
      <w:proofErr w:type="spellStart"/>
      <w:r>
        <w:t>Taq</w:t>
      </w:r>
      <w:proofErr w:type="spellEnd"/>
      <w:r>
        <w:t xml:space="preserve"> polymerase, a special heat-tolerant DNA polymerase obtained from </w:t>
      </w:r>
      <w:proofErr w:type="spellStart"/>
      <w:r>
        <w:t>Thermus</w:t>
      </w:r>
      <w:proofErr w:type="spellEnd"/>
      <w:r>
        <w:t xml:space="preserve"> </w:t>
      </w:r>
      <w:proofErr w:type="spellStart"/>
      <w:r>
        <w:t>aquaticus</w:t>
      </w:r>
      <w:proofErr w:type="spellEnd"/>
      <w:r>
        <w:t xml:space="preserve"> bacteria.  </w:t>
      </w:r>
      <w:proofErr w:type="spellStart"/>
      <w:r>
        <w:t>Taq</w:t>
      </w:r>
      <w:proofErr w:type="spellEnd"/>
      <w:r>
        <w:t xml:space="preserve"> adds complimentary base pairs</w:t>
      </w:r>
      <w:r w:rsidR="00C702A5">
        <w:t xml:space="preserve"> onto the 3’ end of the primed </w:t>
      </w:r>
      <w:r>
        <w:t>DNA sites.</w:t>
      </w:r>
    </w:p>
    <w:p w:rsidR="00A25D95" w:rsidRDefault="00454EAB" w:rsidP="00454EAB">
      <w:pPr>
        <w:pStyle w:val="ListParagraph"/>
        <w:widowControl w:val="0"/>
        <w:numPr>
          <w:ilvl w:val="0"/>
          <w:numId w:val="3"/>
        </w:numPr>
      </w:pPr>
      <w:r>
        <w:t>MgCl</w:t>
      </w:r>
      <w:r w:rsidRPr="00454EAB">
        <w:rPr>
          <w:vertAlign w:val="subscript"/>
        </w:rPr>
        <w:t>2</w:t>
      </w:r>
      <w:r>
        <w:t xml:space="preserve"> provides magnesium ions, which are an essential cofactor for DNA polymerase</w:t>
      </w:r>
      <w:r w:rsidR="00870D61">
        <w:t xml:space="preserve">s like </w:t>
      </w:r>
      <w:proofErr w:type="spellStart"/>
      <w:r w:rsidR="00870D61">
        <w:t>Taq</w:t>
      </w:r>
      <w:proofErr w:type="spellEnd"/>
      <w:r>
        <w:t xml:space="preserve">.  </w:t>
      </w:r>
    </w:p>
    <w:p w:rsidR="00A25D95" w:rsidRDefault="00A25D95" w:rsidP="00454EAB">
      <w:pPr>
        <w:pStyle w:val="ListParagraph"/>
        <w:widowControl w:val="0"/>
        <w:numPr>
          <w:ilvl w:val="0"/>
          <w:numId w:val="3"/>
        </w:numPr>
      </w:pPr>
      <w:proofErr w:type="spellStart"/>
      <w:proofErr w:type="gramStart"/>
      <w:r>
        <w:t>dNTPs</w:t>
      </w:r>
      <w:proofErr w:type="spellEnd"/>
      <w:proofErr w:type="gramEnd"/>
      <w:r>
        <w:t xml:space="preserve"> – </w:t>
      </w:r>
      <w:proofErr w:type="spellStart"/>
      <w:r>
        <w:t>deoxynucleoside</w:t>
      </w:r>
      <w:proofErr w:type="spellEnd"/>
      <w:r>
        <w:t xml:space="preserve"> triphosphate bases – these modified DNA bases are added as compli</w:t>
      </w:r>
      <w:r w:rsidR="00870D61">
        <w:t xml:space="preserve">mentary bases to the target DNA </w:t>
      </w:r>
      <w:r w:rsidR="00454EAB">
        <w:t>reaction</w:t>
      </w:r>
      <w:r w:rsidR="00870D61">
        <w:t xml:space="preserve">. </w:t>
      </w:r>
      <w:r>
        <w:t xml:space="preserve">The </w:t>
      </w:r>
      <w:proofErr w:type="spellStart"/>
      <w:r>
        <w:t>dNTP</w:t>
      </w:r>
      <w:proofErr w:type="spellEnd"/>
      <w:r>
        <w:t xml:space="preserve"> mix contains adenine, thymine, cytosine an</w:t>
      </w:r>
      <w:r w:rsidR="00870D61">
        <w:t>d</w:t>
      </w:r>
      <w:r>
        <w:t xml:space="preserve"> guanine </w:t>
      </w:r>
      <w:proofErr w:type="spellStart"/>
      <w:r>
        <w:t>dNTPs</w:t>
      </w:r>
      <w:proofErr w:type="spellEnd"/>
      <w:r>
        <w:t>.</w:t>
      </w:r>
    </w:p>
    <w:p w:rsidR="00A25D95" w:rsidRDefault="00A25D95" w:rsidP="00454EAB">
      <w:pPr>
        <w:pStyle w:val="ListParagraph"/>
        <w:widowControl w:val="0"/>
        <w:numPr>
          <w:ilvl w:val="0"/>
          <w:numId w:val="3"/>
        </w:numPr>
      </w:pPr>
      <w:r>
        <w:t>Buffer maintains the pH of the reaction</w:t>
      </w:r>
      <w:r w:rsidR="00454EAB">
        <w:t xml:space="preserve"> </w:t>
      </w:r>
      <w:r>
        <w:t xml:space="preserve">to ensure optimal </w:t>
      </w:r>
      <w:proofErr w:type="spellStart"/>
      <w:r>
        <w:t>Taq</w:t>
      </w:r>
      <w:proofErr w:type="spellEnd"/>
      <w:r>
        <w:t xml:space="preserve"> polymerase activity.</w:t>
      </w:r>
    </w:p>
    <w:p w:rsidR="00D84EBF" w:rsidRPr="00B17B91" w:rsidRDefault="00A25D95" w:rsidP="00A25D95">
      <w:pPr>
        <w:widowControl w:val="0"/>
        <w:rPr>
          <w:color w:val="000000" w:themeColor="text1"/>
        </w:rPr>
      </w:pPr>
      <w:r>
        <w:t xml:space="preserve">Our </w:t>
      </w:r>
      <w:r w:rsidRPr="00D677E2">
        <w:rPr>
          <w:color w:val="000000" w:themeColor="text1"/>
        </w:rPr>
        <w:t xml:space="preserve">lab is a simulation of how PCR would be used to solve the </w:t>
      </w:r>
      <w:r w:rsidR="00D677E2" w:rsidRPr="00D677E2">
        <w:rPr>
          <w:color w:val="000000" w:themeColor="text1"/>
        </w:rPr>
        <w:t>food contamination</w:t>
      </w:r>
      <w:r w:rsidR="006D780D" w:rsidRPr="00D677E2">
        <w:rPr>
          <w:color w:val="000000" w:themeColor="text1"/>
        </w:rPr>
        <w:t xml:space="preserve"> </w:t>
      </w:r>
      <w:r w:rsidR="00870D61">
        <w:rPr>
          <w:color w:val="000000" w:themeColor="text1"/>
        </w:rPr>
        <w:t>question while</w:t>
      </w:r>
      <w:r w:rsidRPr="00D677E2">
        <w:rPr>
          <w:color w:val="000000" w:themeColor="text1"/>
        </w:rPr>
        <w:t xml:space="preserve"> avoid</w:t>
      </w:r>
      <w:r w:rsidR="00870D61">
        <w:rPr>
          <w:color w:val="000000" w:themeColor="text1"/>
        </w:rPr>
        <w:t>ing</w:t>
      </w:r>
      <w:r w:rsidRPr="00D677E2">
        <w:rPr>
          <w:color w:val="000000" w:themeColor="text1"/>
        </w:rPr>
        <w:t xml:space="preserve"> any safety concerns about working with </w:t>
      </w:r>
      <w:r w:rsidR="00B32080">
        <w:rPr>
          <w:color w:val="000000" w:themeColor="text1"/>
        </w:rPr>
        <w:t>Listeria</w:t>
      </w:r>
      <w:r w:rsidR="006D780D" w:rsidRPr="00D677E2">
        <w:rPr>
          <w:color w:val="000000" w:themeColor="text1"/>
        </w:rPr>
        <w:t xml:space="preserve"> </w:t>
      </w:r>
      <w:r w:rsidR="00870D61">
        <w:rPr>
          <w:color w:val="000000" w:themeColor="text1"/>
        </w:rPr>
        <w:t>DNA.</w:t>
      </w:r>
      <w:bookmarkStart w:id="0" w:name="_GoBack"/>
      <w:bookmarkEnd w:id="0"/>
      <w:r w:rsidRPr="00D677E2">
        <w:rPr>
          <w:color w:val="000000" w:themeColor="text1"/>
        </w:rPr>
        <w:t xml:space="preserve"> In the field, scientists would design primers that are specific to </w:t>
      </w:r>
      <w:r w:rsidR="00B32080">
        <w:rPr>
          <w:color w:val="000000" w:themeColor="text1"/>
        </w:rPr>
        <w:t>Listeria</w:t>
      </w:r>
      <w:r w:rsidRPr="00D677E2">
        <w:rPr>
          <w:color w:val="000000" w:themeColor="text1"/>
        </w:rPr>
        <w:t xml:space="preserve"> and then run PCR to amplify any </w:t>
      </w:r>
      <w:r w:rsidR="00B32080">
        <w:rPr>
          <w:color w:val="000000" w:themeColor="text1"/>
        </w:rPr>
        <w:t>Listeria</w:t>
      </w:r>
      <w:r w:rsidRPr="00D677E2">
        <w:rPr>
          <w:color w:val="000000" w:themeColor="text1"/>
        </w:rPr>
        <w:t xml:space="preserve"> DNA present in the </w:t>
      </w:r>
      <w:r w:rsidR="00D677E2" w:rsidRPr="00D677E2">
        <w:rPr>
          <w:color w:val="000000" w:themeColor="text1"/>
        </w:rPr>
        <w:t xml:space="preserve">food </w:t>
      </w:r>
      <w:r w:rsidR="00870D61">
        <w:rPr>
          <w:color w:val="000000" w:themeColor="text1"/>
        </w:rPr>
        <w:t xml:space="preserve">samples. </w:t>
      </w:r>
      <w:r w:rsidRPr="00D677E2">
        <w:rPr>
          <w:color w:val="000000" w:themeColor="text1"/>
        </w:rPr>
        <w:t xml:space="preserve">We are simulating </w:t>
      </w:r>
      <w:r w:rsidR="00B32080">
        <w:rPr>
          <w:color w:val="000000" w:themeColor="text1"/>
        </w:rPr>
        <w:t>Listeria</w:t>
      </w:r>
      <w:r w:rsidR="00D677E2" w:rsidRPr="00D677E2">
        <w:rPr>
          <w:color w:val="000000" w:themeColor="text1"/>
        </w:rPr>
        <w:t xml:space="preserve"> </w:t>
      </w:r>
      <w:r w:rsidRPr="00D677E2">
        <w:rPr>
          <w:color w:val="000000" w:themeColor="text1"/>
        </w:rPr>
        <w:t>genes with safer bacterial plasmid DNA.</w:t>
      </w:r>
    </w:p>
    <w:p w:rsidR="00D84EBF" w:rsidRDefault="00D84EBF" w:rsidP="00A25D95">
      <w:pPr>
        <w:widowControl w:val="0"/>
      </w:pPr>
      <w:r>
        <w:t xml:space="preserve">The </w:t>
      </w:r>
      <w:r w:rsidRPr="00D84EBF">
        <w:rPr>
          <w:b/>
        </w:rPr>
        <w:t>quality of your PCR outcome is highly technique-dependent.</w:t>
      </w:r>
      <w:r>
        <w:t xml:space="preserve">  Follow these technique tips to produce good PCR results:</w:t>
      </w:r>
    </w:p>
    <w:p w:rsidR="00D84EBF" w:rsidRDefault="00D84EBF" w:rsidP="00D84EBF">
      <w:pPr>
        <w:pStyle w:val="ListParagraph"/>
        <w:widowControl w:val="0"/>
        <w:numPr>
          <w:ilvl w:val="0"/>
          <w:numId w:val="4"/>
        </w:numPr>
      </w:pPr>
      <w:r>
        <w:t>Add reagents to the bottom of the tube and mix by pipetting up and down.</w:t>
      </w:r>
    </w:p>
    <w:p w:rsidR="00D84EBF" w:rsidRDefault="00D84EBF" w:rsidP="00D84EBF">
      <w:pPr>
        <w:pStyle w:val="ListParagraph"/>
        <w:widowControl w:val="0"/>
        <w:numPr>
          <w:ilvl w:val="0"/>
          <w:numId w:val="4"/>
        </w:numPr>
      </w:pPr>
      <w:r>
        <w:t>Keep all reagents on ice.</w:t>
      </w:r>
    </w:p>
    <w:p w:rsidR="00D84EBF" w:rsidRDefault="00D84EBF" w:rsidP="00D84EBF">
      <w:pPr>
        <w:pStyle w:val="ListParagraph"/>
        <w:widowControl w:val="0"/>
        <w:numPr>
          <w:ilvl w:val="0"/>
          <w:numId w:val="4"/>
        </w:numPr>
      </w:pPr>
      <w:r>
        <w:t>Pipet carefully.  Hold the reagents at eye-level, verify you have liquid in your pipette and it appears to be the correct amount, and watch the drop as it is added to the reaction tube.</w:t>
      </w:r>
    </w:p>
    <w:p w:rsidR="00D84EBF" w:rsidRDefault="00D84EBF" w:rsidP="00D84EBF">
      <w:pPr>
        <w:pStyle w:val="ListParagraph"/>
        <w:widowControl w:val="0"/>
        <w:numPr>
          <w:ilvl w:val="0"/>
          <w:numId w:val="4"/>
        </w:numPr>
      </w:pPr>
      <w:r>
        <w:t>Change pipette tips between each delivery.</w:t>
      </w:r>
    </w:p>
    <w:p w:rsidR="00D84EBF" w:rsidRDefault="00D84EBF" w:rsidP="003B4FDD"/>
    <w:sectPr w:rsidR="00D84EBF" w:rsidSect="00790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05"/>
    <w:multiLevelType w:val="hybridMultilevel"/>
    <w:tmpl w:val="163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2B2"/>
    <w:multiLevelType w:val="hybridMultilevel"/>
    <w:tmpl w:val="67D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0300"/>
    <w:multiLevelType w:val="hybridMultilevel"/>
    <w:tmpl w:val="A9F2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00AF4"/>
    <w:multiLevelType w:val="hybridMultilevel"/>
    <w:tmpl w:val="BEB475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B"/>
    <w:rsid w:val="00353B84"/>
    <w:rsid w:val="003B4FDD"/>
    <w:rsid w:val="00454EAB"/>
    <w:rsid w:val="00587B08"/>
    <w:rsid w:val="006D780D"/>
    <w:rsid w:val="007904EB"/>
    <w:rsid w:val="00797B00"/>
    <w:rsid w:val="00870D61"/>
    <w:rsid w:val="009D0D86"/>
    <w:rsid w:val="00A25D95"/>
    <w:rsid w:val="00AB1008"/>
    <w:rsid w:val="00B17B91"/>
    <w:rsid w:val="00B32080"/>
    <w:rsid w:val="00C702A5"/>
    <w:rsid w:val="00D448AD"/>
    <w:rsid w:val="00D677E2"/>
    <w:rsid w:val="00D84EBF"/>
    <w:rsid w:val="00E629F4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EB"/>
    <w:pPr>
      <w:ind w:left="720"/>
      <w:contextualSpacing/>
    </w:pPr>
  </w:style>
  <w:style w:type="table" w:styleId="TableGrid">
    <w:name w:val="Table Grid"/>
    <w:basedOn w:val="TableNormal"/>
    <w:uiPriority w:val="59"/>
    <w:rsid w:val="00A2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3B8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4EBF"/>
    <w:rPr>
      <w:strike w:val="0"/>
      <w:dstrike w:val="0"/>
      <w:color w:val="004276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D84EBF"/>
    <w:rPr>
      <w:i/>
      <w:iCs/>
    </w:rPr>
  </w:style>
  <w:style w:type="character" w:styleId="Strong">
    <w:name w:val="Strong"/>
    <w:basedOn w:val="DefaultParagraphFont"/>
    <w:uiPriority w:val="22"/>
    <w:qFormat/>
    <w:rsid w:val="00D84E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EB"/>
    <w:pPr>
      <w:ind w:left="720"/>
      <w:contextualSpacing/>
    </w:pPr>
  </w:style>
  <w:style w:type="table" w:styleId="TableGrid">
    <w:name w:val="Table Grid"/>
    <w:basedOn w:val="TableNormal"/>
    <w:uiPriority w:val="59"/>
    <w:rsid w:val="00A2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3B8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4EBF"/>
    <w:rPr>
      <w:strike w:val="0"/>
      <w:dstrike w:val="0"/>
      <w:color w:val="004276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D84EBF"/>
    <w:rPr>
      <w:i/>
      <w:iCs/>
    </w:rPr>
  </w:style>
  <w:style w:type="character" w:styleId="Strong">
    <w:name w:val="Strong"/>
    <w:basedOn w:val="DefaultParagraphFont"/>
    <w:uiPriority w:val="22"/>
    <w:qFormat/>
    <w:rsid w:val="00D84E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9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08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593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hyperlink" Target="http://static.dna.gov/flash/pdi_s04_m01_01.sw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Moser</dc:creator>
  <cp:lastModifiedBy>Elliot Owen</cp:lastModifiedBy>
  <cp:revision>2</cp:revision>
  <dcterms:created xsi:type="dcterms:W3CDTF">2013-07-30T01:39:00Z</dcterms:created>
  <dcterms:modified xsi:type="dcterms:W3CDTF">2013-07-30T01:39:00Z</dcterms:modified>
</cp:coreProperties>
</file>